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49" w:rsidRPr="006B4749" w:rsidRDefault="006B4749" w:rsidP="006B4749">
      <w:pPr>
        <w:widowControl/>
        <w:spacing w:line="360" w:lineRule="atLeast"/>
        <w:outlineLvl w:val="0"/>
        <w:rPr>
          <w:rFonts w:ascii="宋体" w:eastAsia="宋体" w:hAnsi="宋体" w:cs="宋体" w:hint="eastAsia"/>
          <w:b/>
          <w:kern w:val="36"/>
          <w:sz w:val="28"/>
          <w:szCs w:val="28"/>
        </w:rPr>
      </w:pPr>
      <w:r w:rsidRPr="006B4749">
        <w:rPr>
          <w:rFonts w:ascii="宋体" w:eastAsia="宋体" w:hAnsi="宋体" w:cs="宋体" w:hint="eastAsia"/>
          <w:b/>
          <w:kern w:val="36"/>
          <w:sz w:val="28"/>
          <w:szCs w:val="28"/>
        </w:rPr>
        <w:t>“碳基能源转化利用的催化科学”重大研究计划2016年度项目指南</w:t>
      </w:r>
    </w:p>
    <w:tbl>
      <w:tblPr>
        <w:tblW w:w="5000" w:type="pct"/>
        <w:tblCellSpacing w:w="0" w:type="dxa"/>
        <w:tblCellMar>
          <w:left w:w="0" w:type="dxa"/>
          <w:right w:w="0" w:type="dxa"/>
        </w:tblCellMar>
        <w:tblLook w:val="04A0" w:firstRow="1" w:lastRow="0" w:firstColumn="1" w:lastColumn="0" w:noHBand="0" w:noVBand="1"/>
      </w:tblPr>
      <w:tblGrid>
        <w:gridCol w:w="8306"/>
      </w:tblGrid>
      <w:tr w:rsidR="006B4749" w:rsidRPr="006B4749" w:rsidTr="006B4749">
        <w:trPr>
          <w:trHeight w:val="60"/>
          <w:tblCellSpacing w:w="0" w:type="dxa"/>
        </w:trPr>
        <w:tc>
          <w:tcPr>
            <w:tcW w:w="0" w:type="auto"/>
            <w:vAlign w:val="center"/>
            <w:hideMark/>
          </w:tcPr>
          <w:p w:rsidR="006B4749" w:rsidRPr="006B4749" w:rsidRDefault="006B4749" w:rsidP="006B4749">
            <w:pPr>
              <w:widowControl/>
              <w:spacing w:line="360" w:lineRule="atLeast"/>
              <w:rPr>
                <w:rFonts w:ascii="宋体" w:eastAsia="宋体" w:hAnsi="宋体" w:cs="宋体"/>
                <w:kern w:val="0"/>
                <w:sz w:val="6"/>
                <w:szCs w:val="18"/>
              </w:rPr>
            </w:pPr>
          </w:p>
        </w:tc>
      </w:tr>
      <w:tr w:rsidR="006B4749" w:rsidRPr="006B4749" w:rsidTr="006B4749">
        <w:trPr>
          <w:tblCellSpacing w:w="0" w:type="dxa"/>
        </w:trPr>
        <w:tc>
          <w:tcPr>
            <w:tcW w:w="0" w:type="auto"/>
            <w:vAlign w:val="center"/>
            <w:hideMark/>
          </w:tcPr>
          <w:p w:rsidR="006B4749" w:rsidRPr="006B4749" w:rsidRDefault="006B4749" w:rsidP="006B4749">
            <w:pPr>
              <w:widowControl/>
              <w:spacing w:line="360" w:lineRule="atLeast"/>
              <w:jc w:val="center"/>
              <w:rPr>
                <w:rFonts w:ascii="宋体" w:eastAsia="宋体" w:hAnsi="宋体" w:cs="宋体"/>
                <w:kern w:val="0"/>
                <w:sz w:val="18"/>
                <w:szCs w:val="18"/>
              </w:rPr>
            </w:pPr>
          </w:p>
        </w:tc>
      </w:tr>
    </w:tbl>
    <w:p w:rsidR="006B4749" w:rsidRPr="006B4749" w:rsidRDefault="006B4749" w:rsidP="00422D07">
      <w:pPr>
        <w:widowControl/>
        <w:spacing w:before="150" w:after="150" w:line="360" w:lineRule="auto"/>
        <w:ind w:firstLineChars="200" w:firstLine="360"/>
        <w:rPr>
          <w:rFonts w:ascii="宋体" w:eastAsia="宋体" w:hAnsi="宋体" w:cs="宋体" w:hint="eastAsia"/>
          <w:kern w:val="0"/>
          <w:sz w:val="24"/>
          <w:szCs w:val="24"/>
        </w:rPr>
      </w:pPr>
      <w:bookmarkStart w:id="0" w:name="_GoBack"/>
      <w:bookmarkEnd w:id="0"/>
      <w:r w:rsidRPr="006B4749">
        <w:rPr>
          <w:rFonts w:ascii="宋体" w:eastAsia="宋体" w:hAnsi="宋体" w:cs="宋体" w:hint="eastAsia"/>
          <w:kern w:val="0"/>
          <w:sz w:val="18"/>
          <w:szCs w:val="18"/>
        </w:rPr>
        <w:t>“碳基能源转化利用的催化科学”重大研究计划面向碳基能源高效利用的国家重大战略需求，针对催化表界面化学所涉及的关键科学问题开展系统深入的研究。</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注重催化剂结构、表界面特性，以及外场环境对催化剂表界面电子态的影响和调控，重点关注能源小分子高效转化相关的C-H键和C-O键的催化活化及C-C偶联等反应；创新碳基能源利用的化工过程，优化反应历程，以达到高效、环保和CO</w:t>
      </w:r>
      <w:r w:rsidRPr="006B4749">
        <w:rPr>
          <w:rFonts w:ascii="宋体" w:eastAsia="宋体" w:hAnsi="宋体" w:cs="宋体" w:hint="eastAsia"/>
          <w:kern w:val="0"/>
          <w:sz w:val="18"/>
          <w:szCs w:val="18"/>
          <w:vertAlign w:val="subscript"/>
        </w:rPr>
        <w:t>2</w:t>
      </w:r>
      <w:r w:rsidRPr="006B4749">
        <w:rPr>
          <w:rFonts w:ascii="宋体" w:eastAsia="宋体" w:hAnsi="宋体" w:cs="宋体" w:hint="eastAsia"/>
          <w:kern w:val="0"/>
          <w:sz w:val="18"/>
          <w:szCs w:val="18"/>
        </w:rPr>
        <w:t>低排放的目标；建立和发展高分辨表征手段，实现在实际催化反应条件下对反应过程进行精准表征；发展新的理论方法，实现在接近真实催化反应条件下的理论模拟和预见，为未来在分子、原子水平上对催化剂活性中心进行理性设计提供指导。</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w:t>
      </w:r>
      <w:r w:rsidRPr="006B4749">
        <w:rPr>
          <w:rFonts w:ascii="宋体" w:eastAsia="宋体" w:hAnsi="宋体" w:cs="宋体" w:hint="eastAsia"/>
          <w:b/>
          <w:bCs/>
          <w:kern w:val="0"/>
          <w:sz w:val="18"/>
          <w:szCs w:val="18"/>
        </w:rPr>
        <w:t>一、科学目标</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拟通过化学、化工、数理、材料等多学科交叉融合，针对碳基能源分子的高效转化，在催化相关的理论和实验的创新上取得突破，充分发挥和放大我国在微纳米和表界面研究领域的优势，力争在催化表界面理论研究方面形成特色；着重</w:t>
      </w:r>
      <w:proofErr w:type="gramStart"/>
      <w:r w:rsidRPr="006B4749">
        <w:rPr>
          <w:rFonts w:ascii="宋体" w:eastAsia="宋体" w:hAnsi="宋体" w:cs="宋体" w:hint="eastAsia"/>
          <w:kern w:val="0"/>
          <w:sz w:val="18"/>
          <w:szCs w:val="18"/>
        </w:rPr>
        <w:t>解决涉碳化学键</w:t>
      </w:r>
      <w:proofErr w:type="gramEnd"/>
      <w:r w:rsidRPr="006B4749">
        <w:rPr>
          <w:rFonts w:ascii="宋体" w:eastAsia="宋体" w:hAnsi="宋体" w:cs="宋体" w:hint="eastAsia"/>
          <w:kern w:val="0"/>
          <w:sz w:val="18"/>
          <w:szCs w:val="18"/>
        </w:rPr>
        <w:t>催化活化、合成气高效转化和碳基小分子电催化转化等过程的关键科学问题，推动碳基能源的产业革命；造就高水平、结构合理的研究队伍，培养精于理论和实验科学研究的优秀青年学者，大力提升我国在这一领域的竞争力和国际地位。</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w:t>
      </w:r>
      <w:r w:rsidRPr="006B4749">
        <w:rPr>
          <w:rFonts w:ascii="宋体" w:eastAsia="宋体" w:hAnsi="宋体" w:cs="宋体" w:hint="eastAsia"/>
          <w:b/>
          <w:bCs/>
          <w:kern w:val="0"/>
          <w:sz w:val="18"/>
          <w:szCs w:val="18"/>
        </w:rPr>
        <w:t>二、核心科学问题</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（一）催化剂固体表界面局域原子和电子结构的精准设计与构建；</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（二）碳基载能分子在表界面的选择活化和定向转化；</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（三）催化剂固体表界面特性与环境和外场的相互作用机制及调控规律。</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w:t>
      </w:r>
      <w:r w:rsidRPr="006B4749">
        <w:rPr>
          <w:rFonts w:ascii="宋体" w:eastAsia="宋体" w:hAnsi="宋体" w:cs="宋体" w:hint="eastAsia"/>
          <w:b/>
          <w:bCs/>
          <w:kern w:val="0"/>
          <w:sz w:val="18"/>
          <w:szCs w:val="18"/>
        </w:rPr>
        <w:t>三、2016年度拟重点资助研究方向</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前期主要以“培育项目”和“重点支持项目”的形式予以资助，在要求和资助强度上有所不同。对探索性强、选题新颖的申请将以“培育项目”方式予以资助；对具有原创性、有一定工作积累、有望取得重要突破的申请将以“重点支持项目”的方式予以资助。鼓励材料、物理、工程热物理等来自不同学科的研究队伍共同参与申请。拟重点资助以下方向：</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（一）</w:t>
      </w:r>
      <w:proofErr w:type="gramStart"/>
      <w:r w:rsidRPr="006B4749">
        <w:rPr>
          <w:rFonts w:ascii="宋体" w:eastAsia="宋体" w:hAnsi="宋体" w:cs="宋体" w:hint="eastAsia"/>
          <w:kern w:val="0"/>
          <w:sz w:val="18"/>
          <w:szCs w:val="18"/>
        </w:rPr>
        <w:t>涉碳化学键</w:t>
      </w:r>
      <w:proofErr w:type="gramEnd"/>
      <w:r w:rsidRPr="006B4749">
        <w:rPr>
          <w:rFonts w:ascii="宋体" w:eastAsia="宋体" w:hAnsi="宋体" w:cs="宋体" w:hint="eastAsia"/>
          <w:kern w:val="0"/>
          <w:sz w:val="18"/>
          <w:szCs w:val="18"/>
        </w:rPr>
        <w:t>（如C-C、C-H和C-O等）催化活化的新机制。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lastRenderedPageBreak/>
        <w:t xml:space="preserve">　　发展通过催化剂表界面结构调控以提高催化特性的新方法；研究甲烷等低碳烷烃活化以及煤、重油、生物质等稠环大分子的精准活化直接获取液体燃料和化学品的新途径；探索外场</w:t>
      </w:r>
      <w:proofErr w:type="gramStart"/>
      <w:r w:rsidRPr="006B4749">
        <w:rPr>
          <w:rFonts w:ascii="宋体" w:eastAsia="宋体" w:hAnsi="宋体" w:cs="宋体" w:hint="eastAsia"/>
          <w:kern w:val="0"/>
          <w:sz w:val="18"/>
          <w:szCs w:val="18"/>
        </w:rPr>
        <w:t>对涉碳化学键</w:t>
      </w:r>
      <w:proofErr w:type="gramEnd"/>
      <w:r w:rsidRPr="006B4749">
        <w:rPr>
          <w:rFonts w:ascii="宋体" w:eastAsia="宋体" w:hAnsi="宋体" w:cs="宋体" w:hint="eastAsia"/>
          <w:kern w:val="0"/>
          <w:sz w:val="18"/>
          <w:szCs w:val="18"/>
        </w:rPr>
        <w:t>催化活化过程强化新机制。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（二）C-C键偶联的精准控制及合成气转化的新概念。</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研究催化剂表界面原子结构及缺陷态的调控规律和反应分子（如CO和H</w:t>
      </w:r>
      <w:r w:rsidRPr="006B4749">
        <w:rPr>
          <w:rFonts w:ascii="宋体" w:eastAsia="宋体" w:hAnsi="宋体" w:cs="宋体" w:hint="eastAsia"/>
          <w:kern w:val="0"/>
          <w:sz w:val="18"/>
          <w:szCs w:val="18"/>
          <w:vertAlign w:val="subscript"/>
        </w:rPr>
        <w:t>2</w:t>
      </w:r>
      <w:r w:rsidRPr="006B4749">
        <w:rPr>
          <w:rFonts w:ascii="宋体" w:eastAsia="宋体" w:hAnsi="宋体" w:cs="宋体" w:hint="eastAsia"/>
          <w:kern w:val="0"/>
          <w:sz w:val="18"/>
          <w:szCs w:val="18"/>
        </w:rPr>
        <w:t>等）在催化剂表面的吸附和反应机理，探索在催化剂表面和分子筛孔道中C-C键形成和偶联增长的精准控制策略及机制。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（三）碳基小分子电催化转化的新探索。</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调控电催化</w:t>
      </w:r>
      <w:proofErr w:type="gramStart"/>
      <w:r w:rsidRPr="006B4749">
        <w:rPr>
          <w:rFonts w:ascii="宋体" w:eastAsia="宋体" w:hAnsi="宋体" w:cs="宋体" w:hint="eastAsia"/>
          <w:kern w:val="0"/>
          <w:sz w:val="18"/>
          <w:szCs w:val="18"/>
        </w:rPr>
        <w:t>剂结构</w:t>
      </w:r>
      <w:proofErr w:type="gramEnd"/>
      <w:r w:rsidRPr="006B4749">
        <w:rPr>
          <w:rFonts w:ascii="宋体" w:eastAsia="宋体" w:hAnsi="宋体" w:cs="宋体" w:hint="eastAsia"/>
          <w:kern w:val="0"/>
          <w:sz w:val="18"/>
          <w:szCs w:val="18"/>
        </w:rPr>
        <w:t>和性能，构筑电催化表界面新体系；研究电催化碳基小分子活化转化新机制，重点支持高温和非贵金属体系相关研究，着力提高过程效率，实现电能向化学能高效转换和可再生能源的高效储存。</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（四）催化表界面表征与理论模拟的新方法。</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发展适合于催化反应原位-动态环境和涉及外场作用条件下对催化表界面进行高灵敏和高分辨表征的新技术和新理论；建立催化过程多尺度理论研究的新方法，注重催化过程的动态模拟。</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w:t>
      </w:r>
      <w:r w:rsidRPr="006B4749">
        <w:rPr>
          <w:rFonts w:ascii="宋体" w:eastAsia="宋体" w:hAnsi="宋体" w:cs="宋体" w:hint="eastAsia"/>
          <w:b/>
          <w:bCs/>
          <w:kern w:val="0"/>
          <w:sz w:val="18"/>
          <w:szCs w:val="18"/>
        </w:rPr>
        <w:t>四、遴选项目的基本原则</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为确保实现总体目标，</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研究计划要求：</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1.鼓励开展前沿领域探索性研究，优先支持具有原创性的催化表界面新概念、新理论、新体系、新方法的研究。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2.鼓励多学科实质性交叉合作研究，特别是数理、材料、化学、化工等学科间的相互交叉。注重理论与实验的有机结合。</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3.鼓励开展国际合作研究。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w:t>
      </w:r>
      <w:r w:rsidRPr="006B4749">
        <w:rPr>
          <w:rFonts w:ascii="宋体" w:eastAsia="宋体" w:hAnsi="宋体" w:cs="宋体" w:hint="eastAsia"/>
          <w:b/>
          <w:bCs/>
          <w:kern w:val="0"/>
          <w:sz w:val="18"/>
          <w:szCs w:val="18"/>
        </w:rPr>
        <w:t>五、2016年度资助计划</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2016年度拟资助培育项目20-25项，直接费用的平均资助强度约80万元／项，资助期限为3年，申请书中研究期限应填写“2017年1月1日-2019年12月31日”；拟资助重点支持项目4项，直接费用的资助强度300-400万元／项，资助期限为4年，申请书中研究期限应填写“2017年1月1日-2020年12月31日”。</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lastRenderedPageBreak/>
        <w:t xml:space="preserve">　　</w:t>
      </w:r>
      <w:r w:rsidRPr="006B4749">
        <w:rPr>
          <w:rFonts w:ascii="宋体" w:eastAsia="宋体" w:hAnsi="宋体" w:cs="宋体" w:hint="eastAsia"/>
          <w:b/>
          <w:bCs/>
          <w:kern w:val="0"/>
          <w:sz w:val="18"/>
          <w:szCs w:val="18"/>
        </w:rPr>
        <w:t>六、申报要求及注意事项</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（一）申请条件。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研究计划项目申请人应当具备以下条件：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1.具有承担基础研究课题的经历；</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2.具有高级专业技术职务（职称）。</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在站博士后研究人员以及正在攻读研究生学位的人员不得申请。</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（二）限项规定。</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6B4749">
        <w:rPr>
          <w:rFonts w:ascii="宋体" w:eastAsia="宋体" w:hAnsi="宋体" w:cs="宋体" w:hint="eastAsia"/>
          <w:kern w:val="0"/>
          <w:sz w:val="18"/>
          <w:szCs w:val="18"/>
        </w:rPr>
        <w:t>含承担</w:t>
      </w:r>
      <w:proofErr w:type="gramEnd"/>
      <w:r w:rsidRPr="006B4749">
        <w:rPr>
          <w:rFonts w:ascii="宋体" w:eastAsia="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2.申请人（不含参与者）同年只能申请1项重大研究计划项目。上一年度获得重大研究计划项目资助的项目负责人（不包括集成项目和战略研究项目），本年度不得再申请重大研究计划项目。</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（三）申请注意事项。</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1.申请书报送日期为2016年9月19日至23日16时。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2.</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研究计划项目申请书采用在线方式撰写。对申请人具体要求如下：</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（1）申请人在填报申请书前，应当认真阅读本项目指南和《2016年度国家自然科学基金项目指南》中申请须知和限</w:t>
      </w:r>
      <w:proofErr w:type="gramStart"/>
      <w:r w:rsidRPr="006B4749">
        <w:rPr>
          <w:rFonts w:ascii="宋体" w:eastAsia="宋体" w:hAnsi="宋体" w:cs="宋体" w:hint="eastAsia"/>
          <w:kern w:val="0"/>
          <w:sz w:val="18"/>
          <w:szCs w:val="18"/>
        </w:rPr>
        <w:t>项申请</w:t>
      </w:r>
      <w:proofErr w:type="gramEnd"/>
      <w:r w:rsidRPr="006B4749">
        <w:rPr>
          <w:rFonts w:ascii="宋体" w:eastAsia="宋体" w:hAnsi="宋体" w:cs="宋体" w:hint="eastAsia"/>
          <w:kern w:val="0"/>
          <w:sz w:val="18"/>
          <w:szCs w:val="18"/>
        </w:rPr>
        <w:t>规定的相关内容，不符合项目指南和相关要求的申请项目不予受理。</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（2）</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研究计划旨在紧密围绕核心科学问题，将对多学科相关研究进行战略性的方向引导和优势整合，成为一个项目集群。申请人应根据</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研究计划拟解决的具体科学问题和项目指南公布的拟资助研究方向，自行拟定项目名称、科学目标、研究内容、技术路线和相应的研究经费等。</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lastRenderedPageBreak/>
        <w:t xml:space="preserve">　　（3）申请人登录科学基金网络信息系统https://isisn.nsfc.gov.cn/（以下简称信息系统，没有系统账号的申请人请向依托单位基金管理联系人申请开户），按照撰写提纲要求撰写申请书。</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4）申请书中的资助类别选择“重大研究计划”，亚类说明选择“重点支持项目”或“培育项目”，附注说明选择“碳基能源转化利用的催化科学”，根据申请的具体研究内容选择相应的申请代码。以上选择不准确或未选择的项目申请将不予受理。</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培育项目和重点支持项目的合作研究单位不得超过2个。</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（5）申请人应当按照重大研究计划申请书的撰写提纲撰写申请书，应突出有限目标和重点突破，明确对实现</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研究计划总体目标和解决核心科学问题的贡献。</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如果申请人已经承担与</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研究计划相关的其他科技计划项目，应当在报告正文的“研究基础”部分论述申请项目与其他相关项目的区别与联系。</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（7）申请人完成申请书撰写后，在线提交电子申请书及附件材料，下载并打印最终PDF版本申请书，向依托单位提交签字后的纸质申请书原件。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（8）申请人应保证纸质申请书与电子版内容一致。</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（1）应在规定的项目申请截止日期（2016年9月23日16时）前提交本单位电子版申请书及附件材料，并统一报送经单位签字盖章后的纸质申请书原件（一式一份）及要求报送的纸质附件材料。</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（2）提交电子版申请书时，应通过信息系统逐项确认。</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（3）报送纸质申请材料时，还应包括本单位公函和申请项目清单，材料不完整不予接收。</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lastRenderedPageBreak/>
        <w:t xml:space="preserve">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4. 申请书由国家自然科学基金委员会项目材料接收工作组负责接收，材料接收工作组联系方式如下：</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w:t>
      </w:r>
      <w:proofErr w:type="gramStart"/>
      <w:r w:rsidRPr="006B4749">
        <w:rPr>
          <w:rFonts w:ascii="宋体" w:eastAsia="宋体" w:hAnsi="宋体" w:cs="宋体" w:hint="eastAsia"/>
          <w:kern w:val="0"/>
          <w:sz w:val="18"/>
          <w:szCs w:val="18"/>
        </w:rPr>
        <w:t>邮</w:t>
      </w:r>
      <w:proofErr w:type="gramEnd"/>
      <w:r w:rsidRPr="006B4749">
        <w:rPr>
          <w:rFonts w:ascii="宋体" w:eastAsia="宋体" w:hAnsi="宋体" w:cs="宋体" w:hint="eastAsia"/>
          <w:kern w:val="0"/>
          <w:sz w:val="18"/>
          <w:szCs w:val="18"/>
        </w:rPr>
        <w:t xml:space="preserve">　　编：100085</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联系电话：010-62328591</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5. </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研究计划咨询方式：</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国家自然科学基金委员会计划局交叉学科处</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联系电话：010-62328484</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国家自然科学基金委员会化学科学部三处</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联系电话：010-62327172</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（四）其他注意事项。</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6B4749" w:rsidRPr="006B4749" w:rsidRDefault="006B4749" w:rsidP="006B4749">
      <w:pPr>
        <w:widowControl/>
        <w:spacing w:before="150" w:after="150" w:line="360" w:lineRule="auto"/>
        <w:rPr>
          <w:rFonts w:ascii="宋体" w:eastAsia="宋体" w:hAnsi="宋体" w:cs="宋体" w:hint="eastAsia"/>
          <w:kern w:val="0"/>
          <w:sz w:val="18"/>
          <w:szCs w:val="18"/>
        </w:rPr>
      </w:pPr>
      <w:r w:rsidRPr="006B4749">
        <w:rPr>
          <w:rFonts w:ascii="宋体" w:eastAsia="宋体" w:hAnsi="宋体" w:cs="宋体" w:hint="eastAsia"/>
          <w:kern w:val="0"/>
          <w:sz w:val="18"/>
          <w:szCs w:val="18"/>
        </w:rPr>
        <w:t xml:space="preserve">　　2.为加强项目的学术交流，促进项目群的形成和多学科交叉与集成，</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研究计划将每年举办一次资助项目的年度学术交流会，并将不定期地组织相关领域的学术研讨会。获资助项目负责人有义务参加</w:t>
      </w:r>
      <w:proofErr w:type="gramStart"/>
      <w:r w:rsidRPr="006B4749">
        <w:rPr>
          <w:rFonts w:ascii="宋体" w:eastAsia="宋体" w:hAnsi="宋体" w:cs="宋体" w:hint="eastAsia"/>
          <w:kern w:val="0"/>
          <w:sz w:val="18"/>
          <w:szCs w:val="18"/>
        </w:rPr>
        <w:t>本重大</w:t>
      </w:r>
      <w:proofErr w:type="gramEnd"/>
      <w:r w:rsidRPr="006B4749">
        <w:rPr>
          <w:rFonts w:ascii="宋体" w:eastAsia="宋体" w:hAnsi="宋体" w:cs="宋体" w:hint="eastAsia"/>
          <w:kern w:val="0"/>
          <w:sz w:val="18"/>
          <w:szCs w:val="18"/>
        </w:rPr>
        <w:t>研究计划指导专家组和管理工作组所组织的上述学术交流活动。</w:t>
      </w:r>
    </w:p>
    <w:p w:rsidR="00CD55F1" w:rsidRPr="006B4749" w:rsidRDefault="00CD55F1"/>
    <w:sectPr w:rsidR="00CD55F1" w:rsidRPr="006B47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90" w:rsidRDefault="00C01190" w:rsidP="006B4749">
      <w:r>
        <w:separator/>
      </w:r>
    </w:p>
  </w:endnote>
  <w:endnote w:type="continuationSeparator" w:id="0">
    <w:p w:rsidR="00C01190" w:rsidRDefault="00C01190" w:rsidP="006B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211558"/>
      <w:docPartObj>
        <w:docPartGallery w:val="Page Numbers (Bottom of Page)"/>
        <w:docPartUnique/>
      </w:docPartObj>
    </w:sdtPr>
    <w:sdtContent>
      <w:p w:rsidR="00E01BA6" w:rsidRDefault="00E01BA6">
        <w:pPr>
          <w:pStyle w:val="a4"/>
          <w:jc w:val="center"/>
        </w:pPr>
        <w:r>
          <w:fldChar w:fldCharType="begin"/>
        </w:r>
        <w:r>
          <w:instrText>PAGE   \* MERGEFORMAT</w:instrText>
        </w:r>
        <w:r>
          <w:fldChar w:fldCharType="separate"/>
        </w:r>
        <w:r w:rsidR="00422D07" w:rsidRPr="00422D07">
          <w:rPr>
            <w:noProof/>
            <w:lang w:val="zh-CN"/>
          </w:rPr>
          <w:t>1</w:t>
        </w:r>
        <w:r>
          <w:fldChar w:fldCharType="end"/>
        </w:r>
      </w:p>
    </w:sdtContent>
  </w:sdt>
  <w:p w:rsidR="00E01BA6" w:rsidRDefault="00E01B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90" w:rsidRDefault="00C01190" w:rsidP="006B4749">
      <w:r>
        <w:separator/>
      </w:r>
    </w:p>
  </w:footnote>
  <w:footnote w:type="continuationSeparator" w:id="0">
    <w:p w:rsidR="00C01190" w:rsidRDefault="00C01190" w:rsidP="006B4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03"/>
    <w:rsid w:val="00422D07"/>
    <w:rsid w:val="005E5B03"/>
    <w:rsid w:val="006B4749"/>
    <w:rsid w:val="00C01190"/>
    <w:rsid w:val="00CD55F1"/>
    <w:rsid w:val="00E0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749"/>
    <w:rPr>
      <w:sz w:val="18"/>
      <w:szCs w:val="18"/>
    </w:rPr>
  </w:style>
  <w:style w:type="paragraph" w:styleId="a4">
    <w:name w:val="footer"/>
    <w:basedOn w:val="a"/>
    <w:link w:val="Char0"/>
    <w:uiPriority w:val="99"/>
    <w:unhideWhenUsed/>
    <w:rsid w:val="006B4749"/>
    <w:pPr>
      <w:tabs>
        <w:tab w:val="center" w:pos="4153"/>
        <w:tab w:val="right" w:pos="8306"/>
      </w:tabs>
      <w:snapToGrid w:val="0"/>
      <w:jc w:val="left"/>
    </w:pPr>
    <w:rPr>
      <w:sz w:val="18"/>
      <w:szCs w:val="18"/>
    </w:rPr>
  </w:style>
  <w:style w:type="character" w:customStyle="1" w:styleId="Char0">
    <w:name w:val="页脚 Char"/>
    <w:basedOn w:val="a0"/>
    <w:link w:val="a4"/>
    <w:uiPriority w:val="99"/>
    <w:rsid w:val="006B47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749"/>
    <w:rPr>
      <w:sz w:val="18"/>
      <w:szCs w:val="18"/>
    </w:rPr>
  </w:style>
  <w:style w:type="paragraph" w:styleId="a4">
    <w:name w:val="footer"/>
    <w:basedOn w:val="a"/>
    <w:link w:val="Char0"/>
    <w:uiPriority w:val="99"/>
    <w:unhideWhenUsed/>
    <w:rsid w:val="006B4749"/>
    <w:pPr>
      <w:tabs>
        <w:tab w:val="center" w:pos="4153"/>
        <w:tab w:val="right" w:pos="8306"/>
      </w:tabs>
      <w:snapToGrid w:val="0"/>
      <w:jc w:val="left"/>
    </w:pPr>
    <w:rPr>
      <w:sz w:val="18"/>
      <w:szCs w:val="18"/>
    </w:rPr>
  </w:style>
  <w:style w:type="character" w:customStyle="1" w:styleId="Char0">
    <w:name w:val="页脚 Char"/>
    <w:basedOn w:val="a0"/>
    <w:link w:val="a4"/>
    <w:uiPriority w:val="99"/>
    <w:rsid w:val="006B47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4833">
      <w:bodyDiv w:val="1"/>
      <w:marLeft w:val="0"/>
      <w:marRight w:val="0"/>
      <w:marTop w:val="0"/>
      <w:marBottom w:val="0"/>
      <w:divBdr>
        <w:top w:val="none" w:sz="0" w:space="0" w:color="auto"/>
        <w:left w:val="none" w:sz="0" w:space="0" w:color="auto"/>
        <w:bottom w:val="none" w:sz="0" w:space="0" w:color="auto"/>
        <w:right w:val="none" w:sz="0" w:space="0" w:color="auto"/>
      </w:divBdr>
      <w:divsChild>
        <w:div w:id="1996688500">
          <w:marLeft w:val="0"/>
          <w:marRight w:val="0"/>
          <w:marTop w:val="0"/>
          <w:marBottom w:val="0"/>
          <w:divBdr>
            <w:top w:val="none" w:sz="0" w:space="0" w:color="auto"/>
            <w:left w:val="none" w:sz="0" w:space="0" w:color="auto"/>
            <w:bottom w:val="none" w:sz="0" w:space="0" w:color="auto"/>
            <w:right w:val="none" w:sz="0" w:space="0" w:color="auto"/>
          </w:divBdr>
          <w:divsChild>
            <w:div w:id="173963199">
              <w:marLeft w:val="0"/>
              <w:marRight w:val="0"/>
              <w:marTop w:val="75"/>
              <w:marBottom w:val="0"/>
              <w:divBdr>
                <w:top w:val="none" w:sz="0" w:space="0" w:color="auto"/>
                <w:left w:val="none" w:sz="0" w:space="0" w:color="auto"/>
                <w:bottom w:val="none" w:sz="0" w:space="0" w:color="auto"/>
                <w:right w:val="none" w:sz="0" w:space="0" w:color="auto"/>
              </w:divBdr>
              <w:divsChild>
                <w:div w:id="1305813498">
                  <w:marLeft w:val="0"/>
                  <w:marRight w:val="0"/>
                  <w:marTop w:val="0"/>
                  <w:marBottom w:val="0"/>
                  <w:divBdr>
                    <w:top w:val="none" w:sz="0" w:space="0" w:color="auto"/>
                    <w:left w:val="none" w:sz="0" w:space="0" w:color="auto"/>
                    <w:bottom w:val="none" w:sz="0" w:space="0" w:color="auto"/>
                    <w:right w:val="none" w:sz="0" w:space="0" w:color="auto"/>
                  </w:divBdr>
                  <w:divsChild>
                    <w:div w:id="1593049564">
                      <w:marLeft w:val="0"/>
                      <w:marRight w:val="0"/>
                      <w:marTop w:val="0"/>
                      <w:marBottom w:val="0"/>
                      <w:divBdr>
                        <w:top w:val="single" w:sz="6" w:space="31" w:color="BBE0ED"/>
                        <w:left w:val="single" w:sz="6" w:space="0" w:color="BBE0ED"/>
                        <w:bottom w:val="single" w:sz="6" w:space="0" w:color="BBE0ED"/>
                        <w:right w:val="single" w:sz="6" w:space="0" w:color="BBE0ED"/>
                      </w:divBdr>
                      <w:divsChild>
                        <w:div w:id="1762946271">
                          <w:marLeft w:val="0"/>
                          <w:marRight w:val="0"/>
                          <w:marTop w:val="0"/>
                          <w:marBottom w:val="0"/>
                          <w:divBdr>
                            <w:top w:val="none" w:sz="0" w:space="0" w:color="auto"/>
                            <w:left w:val="none" w:sz="0" w:space="0" w:color="auto"/>
                            <w:bottom w:val="none" w:sz="0" w:space="0" w:color="auto"/>
                            <w:right w:val="none" w:sz="0" w:space="0" w:color="auto"/>
                          </w:divBdr>
                          <w:divsChild>
                            <w:div w:id="788430442">
                              <w:marLeft w:val="0"/>
                              <w:marRight w:val="0"/>
                              <w:marTop w:val="0"/>
                              <w:marBottom w:val="0"/>
                              <w:divBdr>
                                <w:top w:val="none" w:sz="0" w:space="0" w:color="auto"/>
                                <w:left w:val="none" w:sz="0" w:space="0" w:color="auto"/>
                                <w:bottom w:val="none" w:sz="0" w:space="0" w:color="auto"/>
                                <w:right w:val="none" w:sz="0" w:space="0" w:color="auto"/>
                              </w:divBdr>
                              <w:divsChild>
                                <w:div w:id="1868323613">
                                  <w:marLeft w:val="0"/>
                                  <w:marRight w:val="0"/>
                                  <w:marTop w:val="0"/>
                                  <w:marBottom w:val="0"/>
                                  <w:divBdr>
                                    <w:top w:val="none" w:sz="0" w:space="0" w:color="auto"/>
                                    <w:left w:val="none" w:sz="0" w:space="0" w:color="auto"/>
                                    <w:bottom w:val="none" w:sz="0" w:space="0" w:color="auto"/>
                                    <w:right w:val="none" w:sz="0" w:space="0" w:color="auto"/>
                                  </w:divBdr>
                                  <w:divsChild>
                                    <w:div w:id="1399787969">
                                      <w:marLeft w:val="0"/>
                                      <w:marRight w:val="0"/>
                                      <w:marTop w:val="0"/>
                                      <w:marBottom w:val="0"/>
                                      <w:divBdr>
                                        <w:top w:val="none" w:sz="0" w:space="0" w:color="auto"/>
                                        <w:left w:val="none" w:sz="0" w:space="0" w:color="auto"/>
                                        <w:bottom w:val="none" w:sz="0" w:space="0" w:color="auto"/>
                                        <w:right w:val="none" w:sz="0" w:space="0" w:color="auto"/>
                                      </w:divBdr>
                                    </w:div>
                                    <w:div w:id="651250757">
                                      <w:marLeft w:val="0"/>
                                      <w:marRight w:val="0"/>
                                      <w:marTop w:val="0"/>
                                      <w:marBottom w:val="0"/>
                                      <w:divBdr>
                                        <w:top w:val="none" w:sz="0" w:space="0" w:color="auto"/>
                                        <w:left w:val="none" w:sz="0" w:space="0" w:color="auto"/>
                                        <w:bottom w:val="none" w:sz="0" w:space="0" w:color="auto"/>
                                        <w:right w:val="none" w:sz="0" w:space="0" w:color="auto"/>
                                      </w:divBdr>
                                    </w:div>
                                    <w:div w:id="6771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5</cp:revision>
  <dcterms:created xsi:type="dcterms:W3CDTF">2016-08-18T09:22:00Z</dcterms:created>
  <dcterms:modified xsi:type="dcterms:W3CDTF">2016-08-18T09:24:00Z</dcterms:modified>
</cp:coreProperties>
</file>